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документов для получения статуса носителя русского языка: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  Документ,  удостоверяющий личность (с переводом);</w:t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   Документ, подтверждающий право на временное пребывание (виза, миграционная карта), разрешение на временное проживание, вид на жительство на территории РФ;</w:t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   Документ, подтверждающий факт постоянного проживания (выписка из домовой книги, копия поквартальной карточки, документ, подтверждающий сведения о постановке на воинский учет, военный билет, иной документ, архивные справки, выписки из архивных документов, копии документов Архивного фонда РФ и (или) иных архивных документов;</w:t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   Документ, подтверждающий наличие родственников: свидетельство о рождении заявителя и документы, подтверждающие родство;</w:t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    Документ, подтверждающий факт постоянного проживания родственника: свидетельство о рождении, свидетельство о заключении брака, свидетельство об усыновлении, свидетельство о смерти родственника, вид на жительство родственника, выписка из домовой книги, копия поквартальной карточки, документ, содержащий сведения о постановке на воинский учет, воинский билет родственника, выписки из архивных документов, копии документов Архивного фонда РФ и (или) иных архивных документов;</w:t>
      </w:r>
    </w:p>
    <w:p w:rsidR="00000000" w:rsidDel="00000000" w:rsidP="00000000" w:rsidRDefault="00000000" w:rsidRPr="00000000">
      <w:pPr>
        <w:ind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    Заявление о признании носителем русского языка.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Юридическая помощь в оформлении гражданства и другим миграционным вопросам </w:t>
      </w:r>
      <w:hyperlink r:id="rId5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legality.ru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legality.ru/" TargetMode="External"/></Relationships>
</file>